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05D8" w:rsidRPr="001C7FC3" w:rsidRDefault="001E05D8" w:rsidP="001E05D8">
      <w:pPr>
        <w:jc w:val="center"/>
        <w:rPr>
          <w:rFonts w:cs="Times New Roman"/>
          <w:b/>
        </w:rPr>
      </w:pPr>
      <w:bookmarkStart w:id="0" w:name="_GoBack"/>
      <w:bookmarkEnd w:id="0"/>
      <w:r w:rsidRPr="001C7FC3">
        <w:rPr>
          <w:rFonts w:cs="Times New Roman"/>
          <w:b/>
        </w:rPr>
        <w:t>Phụ lục</w:t>
      </w:r>
    </w:p>
    <w:p w:rsidR="001E05D8" w:rsidRPr="001C7FC3" w:rsidRDefault="001E05D8" w:rsidP="001E05D8">
      <w:pPr>
        <w:jc w:val="center"/>
        <w:rPr>
          <w:rFonts w:cs="Times New Roman"/>
          <w:b/>
        </w:rPr>
      </w:pPr>
      <w:r w:rsidRPr="001C7FC3">
        <w:rPr>
          <w:rFonts w:cs="Times New Roman"/>
          <w:b/>
        </w:rPr>
        <w:t xml:space="preserve">ĐỊNH MỨC PHÂN BỔ KẾ HOẠCH VỐN CHO CÁC XÃ, PHƯỜNG </w:t>
      </w:r>
    </w:p>
    <w:p w:rsidR="009C5097" w:rsidRDefault="001E05D8" w:rsidP="001E05D8">
      <w:pPr>
        <w:jc w:val="center"/>
        <w:rPr>
          <w:i/>
        </w:rPr>
      </w:pPr>
      <w:r w:rsidRPr="001E05D8">
        <w:rPr>
          <w:i/>
        </w:rPr>
        <w:t>(Kèm theo Nghị quyết số … /2026/NQ-HĐND ngày … / … /2026)</w:t>
      </w:r>
    </w:p>
    <w:p w:rsidR="001E05D8" w:rsidRDefault="001E05D8" w:rsidP="001E05D8">
      <w:pPr>
        <w:ind w:firstLine="709"/>
        <w:jc w:val="both"/>
      </w:pPr>
    </w:p>
    <w:p w:rsidR="00602E8D" w:rsidRDefault="001368E3" w:rsidP="00A32233">
      <w:pPr>
        <w:spacing w:after="120" w:line="360" w:lineRule="exact"/>
        <w:ind w:firstLine="709"/>
        <w:jc w:val="both"/>
      </w:pPr>
      <w:r>
        <w:t xml:space="preserve">Định mức phân bổ kế hoạch vốn cho các xã, phường </w:t>
      </w:r>
      <w:r w:rsidRPr="001368E3">
        <w:t>để thực hiện các nhiệm vụ, dự án thuộc CTMTQG do cấp xã quản lý</w:t>
      </w:r>
      <w:r>
        <w:t xml:space="preserve"> theo điểm c2 khoản 1 Điều 5 Quy định nguyên tắc, tiêu chí, định mức phân bổ vốn ngân sách nhà nước và mức vốn đối ứng từ ngân sách cấp tỉnh, ngân sách cấp xã thực hiện các CTMTQG giai đoạn 2026 - 2030 tỉnh Hưng Yên được xác định như sau:</w:t>
      </w:r>
    </w:p>
    <w:p w:rsidR="001E05D8" w:rsidRPr="001368E3" w:rsidRDefault="00602E8D" w:rsidP="001368E3">
      <w:pPr>
        <w:spacing w:before="120" w:after="120" w:line="360" w:lineRule="exact"/>
        <w:ind w:firstLine="709"/>
        <w:jc w:val="both"/>
        <w:rPr>
          <w:b/>
        </w:rPr>
      </w:pPr>
      <w:r w:rsidRPr="001368E3">
        <w:rPr>
          <w:b/>
        </w:rPr>
        <w:t xml:space="preserve">I. </w:t>
      </w:r>
      <w:r w:rsidR="00E64C24">
        <w:rPr>
          <w:b/>
        </w:rPr>
        <w:t xml:space="preserve">XÁC ĐỊNH SỐ ĐIỂM ĐỂ TÍNH </w:t>
      </w:r>
      <w:r w:rsidRPr="001368E3">
        <w:rPr>
          <w:b/>
        </w:rPr>
        <w:t>ĐỊNH MỨC PHÂN BỔ</w:t>
      </w:r>
    </w:p>
    <w:p w:rsidR="00602E8D" w:rsidRPr="00BC33E4" w:rsidRDefault="00602E8D" w:rsidP="001368E3">
      <w:pPr>
        <w:spacing w:before="120" w:after="120" w:line="360" w:lineRule="exact"/>
        <w:ind w:firstLine="709"/>
        <w:jc w:val="both"/>
        <w:rPr>
          <w:b/>
        </w:rPr>
      </w:pPr>
      <w:r w:rsidRPr="00BC33E4">
        <w:rPr>
          <w:b/>
        </w:rPr>
        <w:t xml:space="preserve">1. </w:t>
      </w:r>
      <w:r w:rsidR="00E64C24" w:rsidRPr="00BC33E4">
        <w:rPr>
          <w:b/>
        </w:rPr>
        <w:t>Xác định số điểm theo quy mô dân số</w:t>
      </w:r>
    </w:p>
    <w:p w:rsidR="001368E3" w:rsidRDefault="00E64C24" w:rsidP="001368E3">
      <w:pPr>
        <w:spacing w:before="120" w:after="120" w:line="360" w:lineRule="exact"/>
        <w:ind w:firstLine="709"/>
        <w:jc w:val="both"/>
      </w:pPr>
      <w:r>
        <w:t>Căn cứ d</w:t>
      </w:r>
      <w:r w:rsidRPr="00E64C24">
        <w:t xml:space="preserve">ân số trung bình của các xã, phường </w:t>
      </w:r>
      <w:r w:rsidR="00BC33E4">
        <w:t xml:space="preserve">trên địa bàn tỉnh </w:t>
      </w:r>
      <w:r w:rsidRPr="00E64C24">
        <w:t xml:space="preserve">được tính theo số liệu do công bố của Thống kê tỉnh </w:t>
      </w:r>
      <w:r w:rsidR="00BC33E4">
        <w:t xml:space="preserve">Hưng Yên </w:t>
      </w:r>
      <w:r w:rsidRPr="00E64C24">
        <w:t>năm 2025;</w:t>
      </w:r>
      <w:r>
        <w:t xml:space="preserve"> </w:t>
      </w:r>
      <w:r w:rsidR="00BC33E4">
        <w:t>các xã, phường có dân số</w:t>
      </w:r>
      <w:r w:rsidR="0083700E">
        <w:t xml:space="preserve"> trung bình dưới</w:t>
      </w:r>
      <w:r w:rsidR="00BC33E4">
        <w:t xml:space="preserve"> 20.000 người được tính 10 điểm</w:t>
      </w:r>
      <w:r w:rsidR="00A32233">
        <w:t>;</w:t>
      </w:r>
      <w:r w:rsidR="00BC33E4">
        <w:t xml:space="preserve"> </w:t>
      </w:r>
      <w:r w:rsidR="0083700E">
        <w:t xml:space="preserve">các xã, phường </w:t>
      </w:r>
      <w:r w:rsidR="00BC33E4">
        <w:t xml:space="preserve">còn lại cứ </w:t>
      </w:r>
      <w:r w:rsidR="00A32233">
        <w:t xml:space="preserve">tăng </w:t>
      </w:r>
      <w:r w:rsidR="00BC33E4">
        <w:t>10.000 người được cộng thêm 01 điểm.</w:t>
      </w:r>
    </w:p>
    <w:p w:rsidR="0083700E" w:rsidRPr="0083700E" w:rsidRDefault="0083700E" w:rsidP="0083700E">
      <w:pPr>
        <w:spacing w:before="120" w:after="120" w:line="360" w:lineRule="exact"/>
        <w:ind w:firstLine="709"/>
        <w:jc w:val="both"/>
        <w:rPr>
          <w:b/>
        </w:rPr>
      </w:pPr>
      <w:r>
        <w:rPr>
          <w:b/>
        </w:rPr>
        <w:t>2</w:t>
      </w:r>
      <w:r w:rsidRPr="0083700E">
        <w:rPr>
          <w:b/>
        </w:rPr>
        <w:t xml:space="preserve">. Xác định số điểm theo </w:t>
      </w:r>
      <w:r w:rsidR="00A32233">
        <w:rPr>
          <w:b/>
        </w:rPr>
        <w:t xml:space="preserve">quy mô </w:t>
      </w:r>
      <w:r w:rsidRPr="0083700E">
        <w:rPr>
          <w:b/>
        </w:rPr>
        <w:t>diệ</w:t>
      </w:r>
      <w:r w:rsidR="00A32233">
        <w:rPr>
          <w:b/>
        </w:rPr>
        <w:t>n tích</w:t>
      </w:r>
    </w:p>
    <w:p w:rsidR="0083700E" w:rsidRDefault="0083700E" w:rsidP="00A32233">
      <w:pPr>
        <w:spacing w:before="120" w:after="120" w:line="360" w:lineRule="exact"/>
        <w:ind w:firstLine="709"/>
        <w:jc w:val="both"/>
      </w:pPr>
      <w:r>
        <w:t>Căn cứ d</w:t>
      </w:r>
      <w:r w:rsidRPr="0083700E">
        <w:t xml:space="preserve">iện tích đất tự nhiên của các xã, phường </w:t>
      </w:r>
      <w:r>
        <w:t xml:space="preserve">trên địa bàn tỉnh </w:t>
      </w:r>
      <w:r w:rsidRPr="0083700E">
        <w:t>được tính theo số liệu công bố của Thống kê tỉnh</w:t>
      </w:r>
      <w:r>
        <w:t xml:space="preserve"> Hưng Yên</w:t>
      </w:r>
      <w:r w:rsidRPr="0083700E">
        <w:t xml:space="preserve"> năm 2025</w:t>
      </w:r>
      <w:r>
        <w:t>; các xã, phường có d</w:t>
      </w:r>
      <w:r w:rsidRPr="0083700E">
        <w:t xml:space="preserve">iện tích đất tự nhiên </w:t>
      </w:r>
      <w:r w:rsidR="00A32233">
        <w:t>dưới 20km</w:t>
      </w:r>
      <w:r w:rsidR="00A32233">
        <w:rPr>
          <w:vertAlign w:val="superscript"/>
        </w:rPr>
        <w:t>2</w:t>
      </w:r>
      <w:r w:rsidR="00A32233">
        <w:t xml:space="preserve"> được tính 10 điểm; các xã, phường còn lại </w:t>
      </w:r>
      <w:r>
        <w:t xml:space="preserve">cứ </w:t>
      </w:r>
      <w:r w:rsidR="00A32233">
        <w:t>tăng 15km</w:t>
      </w:r>
      <w:r w:rsidR="00A32233">
        <w:rPr>
          <w:vertAlign w:val="superscript"/>
        </w:rPr>
        <w:t xml:space="preserve">2 </w:t>
      </w:r>
      <w:r>
        <w:t>được cộng thêm 01 điểm.</w:t>
      </w:r>
    </w:p>
    <w:p w:rsidR="001368E3" w:rsidRPr="00A32233" w:rsidRDefault="00A32233" w:rsidP="001368E3">
      <w:pPr>
        <w:spacing w:before="120" w:after="120" w:line="360" w:lineRule="exact"/>
        <w:ind w:firstLine="709"/>
        <w:jc w:val="both"/>
        <w:rPr>
          <w:b/>
        </w:rPr>
      </w:pPr>
      <w:r w:rsidRPr="00A32233">
        <w:rPr>
          <w:b/>
        </w:rPr>
        <w:t>3</w:t>
      </w:r>
      <w:r w:rsidR="0083700E" w:rsidRPr="00A32233">
        <w:rPr>
          <w:b/>
        </w:rPr>
        <w:t>.</w:t>
      </w:r>
      <w:r w:rsidR="00BC33E4" w:rsidRPr="00A32233">
        <w:rPr>
          <w:b/>
        </w:rPr>
        <w:t xml:space="preserve"> </w:t>
      </w:r>
      <w:r w:rsidR="00BB2C73" w:rsidRPr="00A32233">
        <w:rPr>
          <w:b/>
        </w:rPr>
        <w:t>Xác định số điểm theo tỷ lệ hộ nghèo đa chiều</w:t>
      </w:r>
    </w:p>
    <w:p w:rsidR="00BB2C73" w:rsidRDefault="00BB2C73" w:rsidP="001368E3">
      <w:pPr>
        <w:spacing w:before="120" w:after="120" w:line="360" w:lineRule="exact"/>
        <w:ind w:firstLine="709"/>
        <w:jc w:val="both"/>
      </w:pPr>
      <w:r>
        <w:t>Căn cứ t</w:t>
      </w:r>
      <w:r w:rsidRPr="00BB2C73">
        <w:t>ỷ lệ hộ nghèo của các xã, phường theo Quyết định số 2226/QĐ-UBND ngày 22/12/2025 của Ủy ban nhân dân tỉnh về việc phê duyệt kết quả rà soát hộ nghèo, hộ cận nghèo định kỳ năm 2025 tỉnh Hưng Yên</w:t>
      </w:r>
      <w:r>
        <w:t xml:space="preserve">; </w:t>
      </w:r>
      <w:r w:rsidRPr="00BB2C73">
        <w:t>các xã, phườ</w:t>
      </w:r>
      <w:r>
        <w:t>ng</w:t>
      </w:r>
      <w:r w:rsidRPr="00BB2C73">
        <w:t xml:space="preserve"> </w:t>
      </w:r>
      <w:r>
        <w:t>cứ có 1% hộ nghèo đa chiều được tính 01 điểm.</w:t>
      </w:r>
    </w:p>
    <w:p w:rsidR="0083700E" w:rsidRPr="00A32233" w:rsidRDefault="00A32233" w:rsidP="0083700E">
      <w:pPr>
        <w:spacing w:before="120" w:after="120" w:line="360" w:lineRule="exact"/>
        <w:ind w:firstLine="709"/>
        <w:jc w:val="both"/>
        <w:rPr>
          <w:b/>
        </w:rPr>
      </w:pPr>
      <w:r>
        <w:rPr>
          <w:b/>
        </w:rPr>
        <w:t>4</w:t>
      </w:r>
      <w:r w:rsidR="0083700E" w:rsidRPr="00A32233">
        <w:rPr>
          <w:b/>
        </w:rPr>
        <w:t>.</w:t>
      </w:r>
      <w:r w:rsidR="00BB2C73" w:rsidRPr="00A32233">
        <w:rPr>
          <w:b/>
        </w:rPr>
        <w:t xml:space="preserve"> Xác định số điểm theo </w:t>
      </w:r>
      <w:r w:rsidR="004D4D20">
        <w:rPr>
          <w:b/>
        </w:rPr>
        <w:t>nguồn</w:t>
      </w:r>
      <w:r w:rsidR="0083700E" w:rsidRPr="00A32233">
        <w:rPr>
          <w:b/>
        </w:rPr>
        <w:t xml:space="preserve"> thu ngân sách</w:t>
      </w:r>
    </w:p>
    <w:p w:rsidR="0083700E" w:rsidRDefault="0083700E" w:rsidP="0083700E">
      <w:pPr>
        <w:spacing w:before="120" w:after="120" w:line="360" w:lineRule="exact"/>
        <w:ind w:firstLine="709"/>
        <w:jc w:val="both"/>
      </w:pPr>
      <w:r>
        <w:t xml:space="preserve">Căn cứ số thu ngân sách trên địa bàn các xã, phường trên địa bàn tỉnh </w:t>
      </w:r>
      <w:r w:rsidRPr="0083700E">
        <w:t xml:space="preserve">(không bao gồm các khoản thu từ tiền sử dụng đất, xổ số kiến thiết) theo dự toán thu ngân sách nhà nước năm 2026 do Hội đồng nhân dân tỉnh </w:t>
      </w:r>
      <w:r>
        <w:t xml:space="preserve">Hưng Yên </w:t>
      </w:r>
      <w:r w:rsidRPr="0083700E">
        <w:t>giao tại Nghị quyết số 789/NQ-HĐND ngày 09/12/2025 về việc giao dự toán thu ngân sách nhà nước trên địa bàn; thu chi ngân sách địa phương năm 2026</w:t>
      </w:r>
      <w:r>
        <w:t>; các xã, phường có số thu ngân sách từ 80 tỷ đồng trở lên được tính 10 điểm, các xã, phường còn lại cứ thấp hơn 15 tỷ đồng được được cộng thêm 01 điểm.</w:t>
      </w:r>
    </w:p>
    <w:p w:rsidR="001368E3" w:rsidRPr="00A32233" w:rsidRDefault="00A32233" w:rsidP="00A32233">
      <w:pPr>
        <w:spacing w:before="120" w:after="120" w:line="360" w:lineRule="exact"/>
        <w:ind w:firstLine="709"/>
        <w:jc w:val="both"/>
        <w:rPr>
          <w:b/>
        </w:rPr>
      </w:pPr>
      <w:r w:rsidRPr="00A32233">
        <w:rPr>
          <w:b/>
        </w:rPr>
        <w:t>5</w:t>
      </w:r>
      <w:r w:rsidR="001368E3" w:rsidRPr="00A32233">
        <w:rPr>
          <w:b/>
        </w:rPr>
        <w:t xml:space="preserve">. </w:t>
      </w:r>
      <w:r w:rsidRPr="00A32233">
        <w:rPr>
          <w:b/>
        </w:rPr>
        <w:t xml:space="preserve">Xác định số điểm </w:t>
      </w:r>
      <w:r w:rsidR="002A1CA2">
        <w:rPr>
          <w:b/>
        </w:rPr>
        <w:t xml:space="preserve">theo </w:t>
      </w:r>
      <w:r w:rsidR="001368E3" w:rsidRPr="00A32233">
        <w:rPr>
          <w:b/>
        </w:rPr>
        <w:t>phân loại đơn vị hành chính</w:t>
      </w:r>
    </w:p>
    <w:p w:rsidR="00A32233" w:rsidRDefault="00A32233" w:rsidP="00A32233">
      <w:pPr>
        <w:spacing w:before="120" w:after="120" w:line="360" w:lineRule="exact"/>
        <w:ind w:firstLine="709"/>
        <w:jc w:val="both"/>
      </w:pPr>
      <w:r>
        <w:t xml:space="preserve">Căn cứ danh mục các xã, phường thực hiện sắp xếp chính quyền địa phương 02 cấp theo Nghị quyết số 1666/NQ-UBTVQH15 ngày 16/6/2025 của </w:t>
      </w:r>
      <w:r>
        <w:lastRenderedPageBreak/>
        <w:t>Ủy ban Thường vụ Quốc hội; các phường được tính 8 điểm, các xã được sắp xếp từ thị trấn</w:t>
      </w:r>
      <w:r w:rsidR="004D4D20">
        <w:t xml:space="preserve"> (trước khi thực hiện sắp xếp chính quyền địa phương 02 cấp từ ngày 01/7/2025)</w:t>
      </w:r>
      <w:r>
        <w:t xml:space="preserve"> được tính 10 điểm và các xã còn lại được tính 12 điểm.</w:t>
      </w:r>
    </w:p>
    <w:p w:rsidR="00602E8D" w:rsidRPr="00A32233" w:rsidRDefault="00602E8D" w:rsidP="001368E3">
      <w:pPr>
        <w:spacing w:before="120" w:after="120" w:line="360" w:lineRule="exact"/>
        <w:ind w:firstLine="709"/>
        <w:jc w:val="both"/>
        <w:rPr>
          <w:b/>
        </w:rPr>
      </w:pPr>
      <w:r w:rsidRPr="00A32233">
        <w:rPr>
          <w:b/>
        </w:rPr>
        <w:t>II. PHƯƠNG PHÁP TÍNH ĐỊNH MỨC PHÂN BỔ</w:t>
      </w:r>
    </w:p>
    <w:p w:rsidR="00602E8D" w:rsidRDefault="00DB5D24" w:rsidP="001368E3">
      <w:pPr>
        <w:spacing w:before="120" w:after="120" w:line="360" w:lineRule="exact"/>
        <w:ind w:firstLine="709"/>
        <w:jc w:val="both"/>
      </w:pPr>
      <w:r>
        <w:t>Căn cứ các nội dung tính điểm nêu trên để tính ra số điểm cho từng xã, phường và tổng số điểm các xã, phường trên địa bàn tỉnh làm căn cứ để phân bổ kế hoạch vốn đầu tư công nguồn ngân sách trung ương để hỗ trợ có mục</w:t>
      </w:r>
      <w:r w:rsidR="002A1CA2">
        <w:t xml:space="preserve"> tiêu</w:t>
      </w:r>
      <w:r>
        <w:t xml:space="preserve"> cho ngân sách các xã, phương thực hiệ</w:t>
      </w:r>
      <w:r w:rsidR="002A1CA2">
        <w:t>n các CTMTQG.</w:t>
      </w:r>
    </w:p>
    <w:p w:rsidR="002A1CA2" w:rsidRDefault="002A1CA2" w:rsidP="002A1CA2">
      <w:pPr>
        <w:spacing w:before="120" w:after="120" w:line="360" w:lineRule="exact"/>
        <w:ind w:firstLine="709"/>
        <w:jc w:val="both"/>
      </w:pPr>
      <w:r>
        <w:t>Số điểm của mỗi xã, phường là tổng số điểm tính theo mô dân số, quy mô diện tích, tỷ lệ hộ nghèo đa chiều, số thu ngân sách và phân loại đơn vị hành chính và được tính cố định trong cả giai đoạn 2026 - 2030.</w:t>
      </w:r>
    </w:p>
    <w:p w:rsidR="00DB5D24" w:rsidRDefault="002A1CA2" w:rsidP="001368E3">
      <w:pPr>
        <w:spacing w:before="120" w:after="120" w:line="360" w:lineRule="exact"/>
        <w:ind w:firstLine="709"/>
        <w:jc w:val="both"/>
      </w:pPr>
      <w:r>
        <w:t>Tổng số vốn đầu tư công phân bổ cho các xã, phường được tính như sau:</w:t>
      </w:r>
    </w:p>
    <w:p w:rsidR="002A1CA2" w:rsidRPr="002A1CA2" w:rsidRDefault="002A1CA2" w:rsidP="002A1CA2">
      <w:pPr>
        <w:spacing w:before="120" w:after="120" w:line="360" w:lineRule="exact"/>
        <w:jc w:val="center"/>
        <w:rPr>
          <w:b/>
          <w:sz w:val="32"/>
          <w:szCs w:val="32"/>
        </w:rPr>
      </w:pPr>
      <w:r w:rsidRPr="002A1CA2">
        <w:rPr>
          <w:b/>
          <w:sz w:val="32"/>
          <w:szCs w:val="32"/>
        </w:rPr>
        <w:t>Vi = Xi x Z</w:t>
      </w:r>
    </w:p>
    <w:p w:rsidR="002A1CA2" w:rsidRPr="001C7FC3" w:rsidRDefault="002A1CA2" w:rsidP="001368E3">
      <w:pPr>
        <w:spacing w:before="120" w:after="120" w:line="360" w:lineRule="exact"/>
        <w:ind w:firstLine="709"/>
        <w:jc w:val="both"/>
        <w:rPr>
          <w:i/>
        </w:rPr>
      </w:pPr>
      <w:r w:rsidRPr="001C7FC3">
        <w:rPr>
          <w:i/>
        </w:rPr>
        <w:t xml:space="preserve">Trong đó: </w:t>
      </w:r>
    </w:p>
    <w:p w:rsidR="002A1CA2" w:rsidRDefault="001C7FC3" w:rsidP="001368E3">
      <w:pPr>
        <w:spacing w:before="120" w:after="120" w:line="360" w:lineRule="exact"/>
        <w:ind w:firstLine="709"/>
        <w:jc w:val="both"/>
      </w:pPr>
      <w:r>
        <w:t xml:space="preserve">- </w:t>
      </w:r>
      <w:r w:rsidR="00AA42B9">
        <w:t>Vi là định mức</w:t>
      </w:r>
      <w:r w:rsidR="002A1CA2" w:rsidRPr="002A1CA2">
        <w:t xml:space="preserve"> vốn đầu tư </w:t>
      </w:r>
      <w:r w:rsidR="002A1CA2">
        <w:t>công phân bổ</w:t>
      </w:r>
      <w:r w:rsidR="002A1CA2" w:rsidRPr="002A1CA2">
        <w:t xml:space="preserve"> cho xã thứ</w:t>
      </w:r>
      <w:r w:rsidR="002A1CA2">
        <w:t xml:space="preserve"> i;</w:t>
      </w:r>
    </w:p>
    <w:p w:rsidR="002A1CA2" w:rsidRDefault="001C7FC3" w:rsidP="001368E3">
      <w:pPr>
        <w:spacing w:before="120" w:after="120" w:line="360" w:lineRule="exact"/>
        <w:ind w:firstLine="709"/>
        <w:jc w:val="both"/>
      </w:pPr>
      <w:r>
        <w:t xml:space="preserve">- </w:t>
      </w:r>
      <w:r w:rsidR="002A1CA2">
        <w:t xml:space="preserve">Xi là tổng số điểm của xã thứ i </w:t>
      </w:r>
      <w:r w:rsidR="00AA42B9">
        <w:t>(</w:t>
      </w:r>
      <w:r w:rsidR="002A1CA2">
        <w:t>được tính theo mục I Phụ lục này</w:t>
      </w:r>
      <w:r w:rsidR="00AA42B9">
        <w:t>)</w:t>
      </w:r>
      <w:r w:rsidR="002A1CA2">
        <w:t>;</w:t>
      </w:r>
    </w:p>
    <w:p w:rsidR="001C7FC3" w:rsidRDefault="001C7FC3" w:rsidP="001368E3">
      <w:pPr>
        <w:spacing w:before="120" w:after="120" w:line="360" w:lineRule="exact"/>
        <w:ind w:firstLine="709"/>
        <w:jc w:val="both"/>
      </w:pPr>
      <w:r>
        <w:t xml:space="preserve">- </w:t>
      </w:r>
      <w:r w:rsidR="002A1CA2">
        <w:t>Z là số</w:t>
      </w:r>
      <w:r>
        <w:t xml:space="preserve"> vốn</w:t>
      </w:r>
      <w:r w:rsidR="002A1CA2">
        <w:t xml:space="preserve"> trung b</w:t>
      </w:r>
      <w:r>
        <w:t>ình tính cho</w:t>
      </w:r>
      <w:r w:rsidR="002A1CA2">
        <w:t xml:space="preserve"> 1 điểm (được tính </w:t>
      </w:r>
      <w:r w:rsidR="002A1CA2" w:rsidRPr="002A1CA2">
        <w:t xml:space="preserve">bằng </w:t>
      </w:r>
      <w:r w:rsidR="002A1CA2">
        <w:t xml:space="preserve">tổng </w:t>
      </w:r>
      <w:r w:rsidR="002A1CA2" w:rsidRPr="002A1CA2">
        <w:t xml:space="preserve">số vốn đầu tư </w:t>
      </w:r>
      <w:r w:rsidR="002A1CA2">
        <w:t>công</w:t>
      </w:r>
      <w:r w:rsidR="002A1CA2" w:rsidRPr="002A1CA2">
        <w:t xml:space="preserve"> chia cho tổng số điểm của 104 xã, phường </w:t>
      </w:r>
      <w:r>
        <w:t>tính theo mục I Phụ lục này).</w:t>
      </w:r>
    </w:p>
    <w:p w:rsidR="002A1CA2" w:rsidRDefault="002A1CA2" w:rsidP="001368E3">
      <w:pPr>
        <w:spacing w:before="120" w:after="120" w:line="360" w:lineRule="exact"/>
        <w:ind w:firstLine="709"/>
        <w:jc w:val="both"/>
      </w:pPr>
    </w:p>
    <w:p w:rsidR="00602E8D" w:rsidRDefault="00602E8D" w:rsidP="001E05D8">
      <w:pPr>
        <w:ind w:firstLine="709"/>
        <w:jc w:val="both"/>
      </w:pPr>
    </w:p>
    <w:p w:rsidR="00602E8D" w:rsidRDefault="00602E8D" w:rsidP="001E05D8">
      <w:pPr>
        <w:ind w:firstLine="709"/>
        <w:jc w:val="both"/>
      </w:pPr>
    </w:p>
    <w:p w:rsidR="00602E8D" w:rsidRPr="001E05D8" w:rsidRDefault="00602E8D" w:rsidP="001E05D8">
      <w:pPr>
        <w:ind w:firstLine="709"/>
        <w:jc w:val="both"/>
      </w:pPr>
    </w:p>
    <w:sectPr w:rsidR="00602E8D" w:rsidRPr="001E05D8" w:rsidSect="00EA488E">
      <w:headerReference w:type="default" r:id="rId8"/>
      <w:pgSz w:w="11907" w:h="16839" w:code="9"/>
      <w:pgMar w:top="1134" w:right="1134" w:bottom="1134" w:left="1701" w:header="720" w:footer="720"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13B3" w:rsidRDefault="00A713B3" w:rsidP="001C7FC3">
      <w:pPr>
        <w:spacing w:line="240" w:lineRule="auto"/>
      </w:pPr>
      <w:r>
        <w:separator/>
      </w:r>
    </w:p>
  </w:endnote>
  <w:endnote w:type="continuationSeparator" w:id="0">
    <w:p w:rsidR="00A713B3" w:rsidRDefault="00A713B3" w:rsidP="001C7F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13B3" w:rsidRDefault="00A713B3" w:rsidP="001C7FC3">
      <w:pPr>
        <w:spacing w:line="240" w:lineRule="auto"/>
      </w:pPr>
      <w:r>
        <w:separator/>
      </w:r>
    </w:p>
  </w:footnote>
  <w:footnote w:type="continuationSeparator" w:id="0">
    <w:p w:rsidR="00A713B3" w:rsidRDefault="00A713B3" w:rsidP="001C7FC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4743388"/>
      <w:docPartObj>
        <w:docPartGallery w:val="Page Numbers (Top of Page)"/>
        <w:docPartUnique/>
      </w:docPartObj>
    </w:sdtPr>
    <w:sdtEndPr>
      <w:rPr>
        <w:noProof/>
      </w:rPr>
    </w:sdtEndPr>
    <w:sdtContent>
      <w:p w:rsidR="001C7FC3" w:rsidRDefault="001C7FC3">
        <w:pPr>
          <w:pStyle w:val="Header"/>
          <w:jc w:val="center"/>
        </w:pPr>
        <w:r>
          <w:fldChar w:fldCharType="begin"/>
        </w:r>
        <w:r>
          <w:instrText xml:space="preserve"> PAGE   \* MERGEFORMAT </w:instrText>
        </w:r>
        <w:r>
          <w:fldChar w:fldCharType="separate"/>
        </w:r>
        <w:r w:rsidR="000A0BFB">
          <w:rPr>
            <w:noProof/>
          </w:rPr>
          <w:t>2</w:t>
        </w:r>
        <w:r>
          <w:rPr>
            <w:noProof/>
          </w:rPr>
          <w:fldChar w:fldCharType="end"/>
        </w:r>
      </w:p>
    </w:sdtContent>
  </w:sdt>
  <w:p w:rsidR="001C7FC3" w:rsidRDefault="001C7FC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05D8"/>
    <w:rsid w:val="00086C79"/>
    <w:rsid w:val="000A0BFB"/>
    <w:rsid w:val="001368E3"/>
    <w:rsid w:val="001C7FC3"/>
    <w:rsid w:val="001E05D8"/>
    <w:rsid w:val="00202505"/>
    <w:rsid w:val="002A1CA2"/>
    <w:rsid w:val="002D30DE"/>
    <w:rsid w:val="002F6A9A"/>
    <w:rsid w:val="004D4D20"/>
    <w:rsid w:val="005E79A7"/>
    <w:rsid w:val="00602E8D"/>
    <w:rsid w:val="0083700E"/>
    <w:rsid w:val="009C5097"/>
    <w:rsid w:val="00A32233"/>
    <w:rsid w:val="00A713B3"/>
    <w:rsid w:val="00AA42B9"/>
    <w:rsid w:val="00BB2C73"/>
    <w:rsid w:val="00BC33E4"/>
    <w:rsid w:val="00DB5D24"/>
    <w:rsid w:val="00E64C24"/>
    <w:rsid w:val="00EA48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2E8D"/>
    <w:pPr>
      <w:ind w:left="720"/>
      <w:contextualSpacing/>
    </w:pPr>
  </w:style>
  <w:style w:type="character" w:customStyle="1" w:styleId="BodyTextChar1">
    <w:name w:val="Body Text Char1"/>
    <w:link w:val="BodyText"/>
    <w:uiPriority w:val="99"/>
    <w:rsid w:val="00E64C24"/>
    <w:rPr>
      <w:rFonts w:cs="Times New Roman"/>
      <w:sz w:val="26"/>
      <w:szCs w:val="26"/>
      <w:shd w:val="clear" w:color="auto" w:fill="FFFFFF"/>
    </w:rPr>
  </w:style>
  <w:style w:type="paragraph" w:styleId="BodyText">
    <w:name w:val="Body Text"/>
    <w:basedOn w:val="Normal"/>
    <w:link w:val="BodyTextChar1"/>
    <w:uiPriority w:val="99"/>
    <w:qFormat/>
    <w:rsid w:val="00E64C24"/>
    <w:pPr>
      <w:widowControl w:val="0"/>
      <w:shd w:val="clear" w:color="auto" w:fill="FFFFFF"/>
      <w:spacing w:after="100" w:line="310" w:lineRule="auto"/>
      <w:ind w:firstLine="400"/>
    </w:pPr>
    <w:rPr>
      <w:rFonts w:cs="Times New Roman"/>
      <w:sz w:val="26"/>
      <w:szCs w:val="26"/>
    </w:rPr>
  </w:style>
  <w:style w:type="character" w:customStyle="1" w:styleId="BodyTextChar">
    <w:name w:val="Body Text Char"/>
    <w:basedOn w:val="DefaultParagraphFont"/>
    <w:uiPriority w:val="99"/>
    <w:semiHidden/>
    <w:rsid w:val="00E64C24"/>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39"/>
    <w:rsid w:val="00E64C24"/>
    <w:pPr>
      <w:spacing w:line="240" w:lineRule="auto"/>
    </w:pPr>
    <w:rPr>
      <w:rFonts w:ascii="Courier New" w:eastAsia="Times New Roman" w:hAnsi="Courier New"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1C7FC3"/>
    <w:pPr>
      <w:tabs>
        <w:tab w:val="center" w:pos="4680"/>
        <w:tab w:val="right" w:pos="9360"/>
      </w:tabs>
      <w:spacing w:line="240" w:lineRule="auto"/>
    </w:pPr>
  </w:style>
  <w:style w:type="character" w:customStyle="1" w:styleId="HeaderChar">
    <w:name w:val="Header Char"/>
    <w:basedOn w:val="DefaultParagraphFont"/>
    <w:link w:val="Header"/>
    <w:uiPriority w:val="99"/>
    <w:rsid w:val="001C7FC3"/>
  </w:style>
  <w:style w:type="paragraph" w:styleId="Footer">
    <w:name w:val="footer"/>
    <w:basedOn w:val="Normal"/>
    <w:link w:val="FooterChar"/>
    <w:uiPriority w:val="99"/>
    <w:unhideWhenUsed/>
    <w:rsid w:val="001C7FC3"/>
    <w:pPr>
      <w:tabs>
        <w:tab w:val="center" w:pos="4680"/>
        <w:tab w:val="right" w:pos="9360"/>
      </w:tabs>
      <w:spacing w:line="240" w:lineRule="auto"/>
    </w:pPr>
  </w:style>
  <w:style w:type="character" w:customStyle="1" w:styleId="FooterChar">
    <w:name w:val="Footer Char"/>
    <w:basedOn w:val="DefaultParagraphFont"/>
    <w:link w:val="Footer"/>
    <w:uiPriority w:val="99"/>
    <w:rsid w:val="001C7FC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2E8D"/>
    <w:pPr>
      <w:ind w:left="720"/>
      <w:contextualSpacing/>
    </w:pPr>
  </w:style>
  <w:style w:type="character" w:customStyle="1" w:styleId="BodyTextChar1">
    <w:name w:val="Body Text Char1"/>
    <w:link w:val="BodyText"/>
    <w:uiPriority w:val="99"/>
    <w:rsid w:val="00E64C24"/>
    <w:rPr>
      <w:rFonts w:cs="Times New Roman"/>
      <w:sz w:val="26"/>
      <w:szCs w:val="26"/>
      <w:shd w:val="clear" w:color="auto" w:fill="FFFFFF"/>
    </w:rPr>
  </w:style>
  <w:style w:type="paragraph" w:styleId="BodyText">
    <w:name w:val="Body Text"/>
    <w:basedOn w:val="Normal"/>
    <w:link w:val="BodyTextChar1"/>
    <w:uiPriority w:val="99"/>
    <w:qFormat/>
    <w:rsid w:val="00E64C24"/>
    <w:pPr>
      <w:widowControl w:val="0"/>
      <w:shd w:val="clear" w:color="auto" w:fill="FFFFFF"/>
      <w:spacing w:after="100" w:line="310" w:lineRule="auto"/>
      <w:ind w:firstLine="400"/>
    </w:pPr>
    <w:rPr>
      <w:rFonts w:cs="Times New Roman"/>
      <w:sz w:val="26"/>
      <w:szCs w:val="26"/>
    </w:rPr>
  </w:style>
  <w:style w:type="character" w:customStyle="1" w:styleId="BodyTextChar">
    <w:name w:val="Body Text Char"/>
    <w:basedOn w:val="DefaultParagraphFont"/>
    <w:uiPriority w:val="99"/>
    <w:semiHidden/>
    <w:rsid w:val="00E64C24"/>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39"/>
    <w:rsid w:val="00E64C24"/>
    <w:pPr>
      <w:spacing w:line="240" w:lineRule="auto"/>
    </w:pPr>
    <w:rPr>
      <w:rFonts w:ascii="Courier New" w:eastAsia="Times New Roman" w:hAnsi="Courier New"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1C7FC3"/>
    <w:pPr>
      <w:tabs>
        <w:tab w:val="center" w:pos="4680"/>
        <w:tab w:val="right" w:pos="9360"/>
      </w:tabs>
      <w:spacing w:line="240" w:lineRule="auto"/>
    </w:pPr>
  </w:style>
  <w:style w:type="character" w:customStyle="1" w:styleId="HeaderChar">
    <w:name w:val="Header Char"/>
    <w:basedOn w:val="DefaultParagraphFont"/>
    <w:link w:val="Header"/>
    <w:uiPriority w:val="99"/>
    <w:rsid w:val="001C7FC3"/>
  </w:style>
  <w:style w:type="paragraph" w:styleId="Footer">
    <w:name w:val="footer"/>
    <w:basedOn w:val="Normal"/>
    <w:link w:val="FooterChar"/>
    <w:uiPriority w:val="99"/>
    <w:unhideWhenUsed/>
    <w:rsid w:val="001C7FC3"/>
    <w:pPr>
      <w:tabs>
        <w:tab w:val="center" w:pos="4680"/>
        <w:tab w:val="right" w:pos="9360"/>
      </w:tabs>
      <w:spacing w:line="240" w:lineRule="auto"/>
    </w:pPr>
  </w:style>
  <w:style w:type="character" w:customStyle="1" w:styleId="FooterChar">
    <w:name w:val="Footer Char"/>
    <w:basedOn w:val="DefaultParagraphFont"/>
    <w:link w:val="Footer"/>
    <w:uiPriority w:val="99"/>
    <w:rsid w:val="001C7F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AEC87B-3D28-48F8-98D3-C3D3C2B122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311</TotalTime>
  <Pages>2</Pages>
  <Words>494</Words>
  <Characters>2818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2026-06-16T14:01:00Z</cp:lastPrinted>
  <dcterms:created xsi:type="dcterms:W3CDTF">2026-06-02T07:36:00Z</dcterms:created>
  <dcterms:modified xsi:type="dcterms:W3CDTF">2026-06-16T14:03:00Z</dcterms:modified>
</cp:coreProperties>
</file>