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851"/>
        <w:gridCol w:w="6936"/>
        <w:gridCol w:w="1002"/>
        <w:gridCol w:w="1134"/>
        <w:gridCol w:w="4640"/>
        <w:gridCol w:w="38"/>
      </w:tblGrid>
      <w:tr w:rsidR="009770A7" w:rsidRPr="009770A7" w:rsidTr="007D317B">
        <w:trPr>
          <w:trHeight w:val="1605"/>
        </w:trPr>
        <w:tc>
          <w:tcPr>
            <w:tcW w:w="146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A7" w:rsidRPr="009770A7" w:rsidRDefault="009770A7" w:rsidP="002117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Cs w:val="28"/>
              </w:rPr>
              <w:t>Phụ lục II</w:t>
            </w:r>
            <w:r w:rsidRPr="009770A7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CHỈ SỐ CẢI CÁCH HÀNH CHÍNH CẤP TỈNH (PAR INDEX CẤP TỈNH)</w:t>
            </w:r>
            <w:r w:rsidRPr="009770A7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 xml:space="preserve"> VỀ CẢI CÁCH THỦ TỤC HÀNH CHÍNH</w:t>
            </w:r>
            <w:r w:rsidRPr="009770A7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9C3E2A" w:rsidRPr="002C25D0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 xml:space="preserve">(Kèm theo Kế hoạch số </w:t>
            </w:r>
            <w:r w:rsidR="009C3E2A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>01</w:t>
            </w:r>
            <w:r w:rsidR="009C3E2A" w:rsidRPr="002C25D0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>/KH-UBND ngày</w:t>
            </w:r>
            <w:r w:rsidR="009C3E2A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 xml:space="preserve"> 06</w:t>
            </w:r>
            <w:r w:rsidR="009C3E2A" w:rsidRPr="002C25D0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 xml:space="preserve"> /01/2022 của UBND tỉnh)</w:t>
            </w:r>
            <w:bookmarkStart w:id="0" w:name="_GoBack"/>
            <w:bookmarkEnd w:id="0"/>
          </w:p>
        </w:tc>
      </w:tr>
      <w:tr w:rsidR="002F3AED" w:rsidRPr="009770A7" w:rsidTr="00211727">
        <w:trPr>
          <w:gridAfter w:val="1"/>
          <w:wAfter w:w="38" w:type="dxa"/>
          <w:trHeight w:val="1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C02E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C02E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2"/>
              </w:rPr>
              <w:t>Lĩnh vực/Tiêu chí/Tiêu chí thành phần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C02E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2"/>
              </w:rPr>
              <w:t>Điểm tối đa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C02E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2"/>
              </w:rPr>
              <w:t>Điểm tự đánh giá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C02E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2"/>
              </w:rPr>
              <w:t>Tài liệu kiểm chứng, giải trình</w:t>
            </w:r>
          </w:p>
        </w:tc>
      </w:tr>
      <w:tr w:rsidR="002F3AED" w:rsidRPr="009770A7" w:rsidTr="00211727">
        <w:trPr>
          <w:gridAfter w:val="1"/>
          <w:wAfter w:w="38" w:type="dxa"/>
          <w:trHeight w:val="2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CÔNG TÁC CHỈ ĐẠO ĐIỀU HÀNH CCHC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1.6.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Thực hiện nhiệm vụ được Chính phủ, Thủ tướng Chính phủ giao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Tất cả nhiệm vụ đã hoàn thành đúng tiến độ:1.5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Tất cả nhiệm vụ đã hoàn thành nhưng muộn so với tiến độ: 1.0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Tất cả nhiệm vụ quá hạn nhưng chưa hoàn thành: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Điểm đánh giá được tính theo công thức:  (b/a) *1.5 + (c/a)*1.0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Trong đó: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a là tổng số nhiệm vụ được giao.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b là số nhiệm vụ đã hoàn thành đúng tiến độ.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 là số nhiệm vụ đã hoàn thành nhưng muộn so với tiến độ.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THỦ TỤC HÀNH CHÍNH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Kiểm soát quy định thủ tục hành chính (TTHC)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3.1.1.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Thực hiện quy định về ban hành TTHC theo thẩm quyền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có TTHC ban hành trái thẩm quyền: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TTHC ban hành trái thẩm quyền: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3.1.2.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Xử lý các vấn đề phát hiện qua rà soát TTHC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vấn đề phát hiện được xử lý hoặc kiến nghị xử lý:0.5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100% số vấn đề phát hiện được xử lý hoặc kiến nghị xử lý:0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3.2.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bố, công khai TTHC và kết quả giải quyết hồ sơ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45" w:rsidRPr="00A81945" w:rsidRDefault="00A81945" w:rsidP="00A8194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6"/>
              </w:rPr>
            </w:pPr>
          </w:p>
          <w:p w:rsidR="00A81945" w:rsidRPr="00A81945" w:rsidRDefault="002F3AED" w:rsidP="00A81945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3.2.1.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Công bố TTHC và danh mục TTHC thuộc thẩm quyền giải quyết của các cấp chính quyền trên địa bàn tỉnh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Đúng quy định: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đúng quy định: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3.2.2.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Nhập, đăng tải công khai TTHC vào Cơ sở dữ liệu quốc gia sau khi công bố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Đúng quy định: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đúng quy định: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3.2.3.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Công bố quy trình nội bộ giải quyết TTHC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TTHC thuộc thẩm quyền giải quyết của CQCM cấp tỉnh đã được công bố: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TTHC thuộc thẩm quyền giải quyết của UBND cấp huyện đã được công bố: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TTHC thuộc thẩm quyền giải quyết của UBND cấp xã đã được công bố: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3.2.4.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Tỷ lệ CQCM cấp tỉnh và ĐVHC cấp huyện, cấp xã công khai TTHC đầy đủ, đúng quy định tại nơi tiếp nhận, giải quyết TTHC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cơ quan, đơn vị: 0.75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85% - dưới 100% số cơ quan, đơn vị: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70% - dưới 85% số cơ quan, đơn vị: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70% số cơ quan, đơn vị: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3.2.5.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Công khai TTHC trên Cổng thông tin điện tử (TTĐT) của tỉnh và Trang TTĐT của các cơ quan, đơn vị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TTHC được công khai đầy đủ trên Cổng TTĐT của tỉnh: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CQCM cấp tỉnh công khai đầy đủ TTHC thuộc thẩm quyền giải quyết trên Trang TTĐT của đơn vị mình: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ĐVHC cấp huyện công khai đầy đủ TTHC thuộc thẩm quyền giải quyết trên Trang TTĐT của đơn vị mình: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3.2.6.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Công khai tiến độ, kết quả giải quyết hồ sơ TTHC trên Cổng TTĐT hoặc Cổng dịch vụ công của tỉnh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  <w:p w:rsidR="00A81945" w:rsidRDefault="00A81945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  <w:p w:rsidR="00A81945" w:rsidRPr="009770A7" w:rsidRDefault="00A81945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100% CQCM cấp tỉnh đã công khai tiến độ, kết quả giải quyết hồ sơ TTHC: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UBND cấp huyện đã công khai tiến độ, kết quả giải quyết hồ sơ TTHC: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UBND cấp xã đã công khai tiến độ, kết quả giải quyết hồ sơ TTHC: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3.3.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Thực hiện cơ chế một cửa, cơ chế một cửa liên thông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3.3.1.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Tỷ lệ TTHC thực hiện việc tiếp nhận, trả kết quả tại Bộ phận Một cửa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Đạt tỷ lệ 100% số TTHC thuộc thẩm quyền giải quyết của cấp tỉnh: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Đạt tỷ lệ 100% số TTHC thuộc thẩm quyền giải quyết của UBND cấp huyện: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Đạt tỷ lệ 100% số TTHC thuộc thẩm quyền giải quyết của UBND cấp xã: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3.3.2.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Đưa TTHC ngành dọc thực hiện việc tiếp nhận hồ sơ tại Bộ phận Một cửa các cấp theo danh mục được phê duyệt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80% số TTHC trở lên: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60% - dưới 80% số TTHC: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60% số TTHC: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3.3.3.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Số TTHC hoặc nhóm TTHC được giải quyết theo hình thức liên thông cùng cấp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50 TTHC hoặc nhóm TTHC trở lên: 0.75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40 - 49 TTHC hoặc nhóm TTHC: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30- 39 TTHC hoặc nhóm TTHC: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30 TTHC hoặc nhóm TTHC: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3.3.4.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Số TTHC hoặc nhóm TTHC được giải quyết theo hình thức liên thông giữa các cấp chính quyền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30 TTHC hoặc nhóm TTHC trở lên: 0.75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20 - 29 TTHC hoặc nhóm TTHC: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10- 19 TTHC hoặc nhóm TTHC:0.25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10 TTHC hoặc nhóm TTHC: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lastRenderedPageBreak/>
              <w:t>3.4.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Kết quả giải quyết hồ sơ TTHC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3.4.1.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Tỷ lệ hồ sơ TTHC do CQCM cấp tỉnh tiếp nhận trong năm được giải quyết đúng hạn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1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2F3AED" w:rsidRPr="009770A7" w:rsidTr="009770A7">
              <w:trPr>
                <w:trHeight w:val="1140"/>
                <w:tblCellSpacing w:w="0" w:type="dxa"/>
              </w:trPr>
              <w:tc>
                <w:tcPr>
                  <w:tcW w:w="6300" w:type="dxa"/>
                  <w:shd w:val="clear" w:color="auto" w:fill="auto"/>
                  <w:hideMark/>
                </w:tcPr>
                <w:p w:rsidR="002F3AED" w:rsidRPr="009770A7" w:rsidRDefault="002F3AED" w:rsidP="009770A7">
                  <w:pPr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770A7">
                    <w:rPr>
                      <w:rFonts w:eastAsia="Times New Roman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vi-VN" w:eastAsia="vi-VN"/>
                    </w:rPr>
                    <w:drawing>
                      <wp:anchor distT="0" distB="0" distL="114300" distR="114300" simplePos="0" relativeHeight="251649536" behindDoc="0" locked="0" layoutInCell="1" allowOverlap="1" wp14:anchorId="59C3E7B8" wp14:editId="4B9D67DE">
                        <wp:simplePos x="0" y="0"/>
                        <wp:positionH relativeFrom="column">
                          <wp:posOffset>1015365</wp:posOffset>
                        </wp:positionH>
                        <wp:positionV relativeFrom="paragraph">
                          <wp:posOffset>396875</wp:posOffset>
                        </wp:positionV>
                        <wp:extent cx="1562735" cy="307975"/>
                        <wp:effectExtent l="19050" t="0" r="0" b="0"/>
                        <wp:wrapNone/>
                        <wp:docPr id="1" name="Picture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73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770A7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Từ 95 % - 100% số hồ sơ TTHC trong năm được giải quyết đúng hạn thì điểm đánh giá được tính theo công thức </w:t>
                  </w:r>
                </w:p>
              </w:tc>
            </w:tr>
          </w:tbl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95% số hồ sơ TTHC trong năm được giải quyết đúng hạn: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3.4.2.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Tỷ lệ hồ sơ TTHC do UBND cấp huyện tiếp nhận trong năm được giải quyết đúng hạn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Từ 95 % - 100% số hồ sơ TTHC trong năm được giải quyết đúng hạn thì điểm đánh giá được tính theo công thức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2F3AED" w:rsidRPr="009770A7" w:rsidTr="009770A7">
              <w:trPr>
                <w:trHeight w:val="795"/>
                <w:tblCellSpacing w:w="0" w:type="dxa"/>
              </w:trPr>
              <w:tc>
                <w:tcPr>
                  <w:tcW w:w="6300" w:type="dxa"/>
                  <w:shd w:val="clear" w:color="auto" w:fill="auto"/>
                  <w:hideMark/>
                </w:tcPr>
                <w:p w:rsidR="002F3AED" w:rsidRPr="009770A7" w:rsidRDefault="002F3AED" w:rsidP="009770A7">
                  <w:pPr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770A7">
                    <w:rPr>
                      <w:rFonts w:eastAsia="Times New Roman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vi-VN" w:eastAsia="vi-VN"/>
                    </w:rPr>
                    <w:drawing>
                      <wp:anchor distT="0" distB="0" distL="114300" distR="114300" simplePos="0" relativeHeight="251654656" behindDoc="0" locked="0" layoutInCell="1" allowOverlap="1" wp14:anchorId="2CDEFEE2" wp14:editId="01E4F148">
                        <wp:simplePos x="0" y="0"/>
                        <wp:positionH relativeFrom="column">
                          <wp:posOffset>1061056</wp:posOffset>
                        </wp:positionH>
                        <wp:positionV relativeFrom="paragraph">
                          <wp:posOffset>178110</wp:posOffset>
                        </wp:positionV>
                        <wp:extent cx="1512038" cy="287079"/>
                        <wp:effectExtent l="19050" t="0" r="0" b="0"/>
                        <wp:wrapNone/>
                        <wp:docPr id="2" name="Picture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038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770A7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Dưới 95% số hồ sơ TTHC trong năm được giải quyết đúng hạn: 0</w:t>
                  </w:r>
                </w:p>
              </w:tc>
            </w:tr>
          </w:tbl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3.4.3.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Tỷ lệ hồ sơ TTHC do UBND cấp xã tiếp nhận trong năm được giải quyết đúng hạn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Từ 95 % - 100% số hồ sơ TTHC trong năm được giải quyết đúng hạn thì điểm đánh giá được tính theo công thức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2F3AED" w:rsidRPr="009770A7" w:rsidTr="009770A7">
              <w:trPr>
                <w:trHeight w:val="795"/>
                <w:tblCellSpacing w:w="0" w:type="dxa"/>
              </w:trPr>
              <w:tc>
                <w:tcPr>
                  <w:tcW w:w="6300" w:type="dxa"/>
                  <w:shd w:val="clear" w:color="auto" w:fill="auto"/>
                  <w:hideMark/>
                </w:tcPr>
                <w:p w:rsidR="002F3AED" w:rsidRPr="009770A7" w:rsidRDefault="002F3AED" w:rsidP="009770A7">
                  <w:pPr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770A7">
                    <w:rPr>
                      <w:rFonts w:eastAsia="Times New Roman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vi-VN" w:eastAsia="vi-VN"/>
                    </w:rPr>
                    <w:drawing>
                      <wp:anchor distT="0" distB="0" distL="114300" distR="114300" simplePos="0" relativeHeight="251659776" behindDoc="0" locked="0" layoutInCell="1" allowOverlap="1" wp14:anchorId="47D1651B" wp14:editId="4720A0FD">
                        <wp:simplePos x="0" y="0"/>
                        <wp:positionH relativeFrom="column">
                          <wp:posOffset>494665</wp:posOffset>
                        </wp:positionH>
                        <wp:positionV relativeFrom="paragraph">
                          <wp:posOffset>169545</wp:posOffset>
                        </wp:positionV>
                        <wp:extent cx="1562735" cy="318770"/>
                        <wp:effectExtent l="19050" t="0" r="0" b="0"/>
                        <wp:wrapNone/>
                        <wp:docPr id="3" name="Picture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73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770A7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Dưới 95% số hồ sơ TTHC trong năm được giải quyết đúng hạn: 0</w:t>
                  </w:r>
                </w:p>
              </w:tc>
            </w:tr>
          </w:tbl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3.4.4.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Thực hiện việc xin lỗi người dân, tổ chức khi để xảy ra trễ hẹn trong giải quyết hồ sơ TTHC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Đầy đủ, đúng quy định: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đầy đủ hoặc không đúng quy định: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3.4.5.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Đánh giá chất lượng giải quyết TTHC của địa phương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  <w:p w:rsidR="00A81945" w:rsidRDefault="00A81945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  <w:p w:rsidR="00A81945" w:rsidRPr="009770A7" w:rsidRDefault="00A81945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Từ 80%  - 100% CQCM cấp tỉnh đạt điểm đánh giá từ tốt trở lên: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80% - 100% UBND cấp huyện đạt điểm đánh giá từ tốt trở lên: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80% - 100% UBND cấp xã đạt điểm từ tốt trở lên: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3.5.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Tiếp nhận, xử lý phản ánh, kiến nghị (PAKN) của cá nhân, tổ chức đối với TTHC thuộc thẩm quyền giải quyết của tỉnh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3.5.1.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Xử lý PAKN của cá nhân, tổ chức đối với TTHC thuộc thẩm quyền giải quyết của tỉnh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Tất cả kiến nghị đã được trả lời: 0.75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Tất cả kiến nghị đang trả lời: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Tất cả kiến nghị chưa trả lời: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1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Điểm đánh giá được tính theo công thức: (b/a) *0.75 + (c/a)*0.25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Trong đó: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a là tổng số kiến nghị phải trả lời.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b là số kiến nghị đã được trả lời.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 là số kiến nghị đang trả lời (có dự thảo).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Trường hợp a = 0, thực hiện đánh giá theo văn bản hướng dẫn.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3.5.2.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Công khai kết quả trả lời PAKN của cá nhân, tổ chức đối với quy định TTHC thuộc thẩm quyền của tỉnh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PAKN đã xử lý, trả lời được công khai theo quy định: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100% số PAKN đã xử lý, trả lời được công khai theo quy định: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HIỆN ĐẠI HÓA HÀNH CHÍNH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Ứng dụng công nghệ thông tin (CNTT) của tỉnh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7.1.6.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Thiết lập Hệ thống thông tin một cửa điện tử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đầy đủ chức năng theo quy định:0.5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Chưa đầy đủ chức năng theo quy định:0.25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Chưa thiết lập hệ thống</w:t>
            </w:r>
            <w:r w:rsidRPr="009770A7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7.1.7.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Vận hành Hệ thống thông tin một cửa điện tử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Đã kết nối liên thông tới 100% sở, ngành, huyện, xã: 0.75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Đã kết nối liên thông tới 100% sở, ngành, huyện: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Chưa kết nối liên thông: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7.1.8.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Xây dựng, vận hành Cổng dịch vụ công (DVC)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Cổng DVC đáp ứng chức năng, yêu cầu kỹ thuật và tích hợp đầy đủ DVC trực tuyến mức 3, 4 theo danh mục được phê duyệt: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Cổng DVC chưa đáp ứng chức năng, yêu cầu kỹ thuật hoặc chưa tích hợp đầy đủ DVC trực tuyến mức 3, 4 theo danh mục được phê duyệt: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Chưa xây dựng Cổng DVC: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7.1.9.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Tỷ lệ dịch vụ công trực tuyến mức độ 3 và 4 của tỉnh được tích hợp, cung cấp trên Cổng DVC quốc gia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Tất cả số DVC đã tích hợp, cung cấp trên Cổng DVC quốc gia: 1.0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Tất cả số DVC đã hoàn thiện tái cấu trúc quy trình nhưng chưa tích hợp, cung cấp: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Tất cả số DVC chưa hoàn thiện tái cấu trúc quy trình: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1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Điểm đánh giá được tính theo công thức: (b/a) *1.0 + (c/a)*0.5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Trong đó: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a là tổng số DVC đang cung cấp trực tuyến mức độ 3 và 4 của tỉnh.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b là số DVC đã tích hợp, cung cấp trên Cổng DVC quốc gia.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 là số DVC đã hoàn thiện tái cấu trúc quy trình nhưng chưa tích hợp, cung cấp.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7.1.10.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Xây dựng Hệ thống thông tin báo cáo cấp tỉnh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Đã xây dựng, đáp ứng đầy đủ chức năng, yêu cầu kỹ thuật theo quy định:0.5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Đã xây dựng nhưng chưa đáp ứng đầy đủ chức năng, yêu cầu kỹ thuật theo quy định: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Chưa xây dựng: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7.1.11.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Tỷ lệ kết nối chế độ báo cáo của UBND tỉnh với Hệ thống thông tin báo cáo Chính phủ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  <w:p w:rsidR="00A81945" w:rsidRPr="009770A7" w:rsidRDefault="00A81945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Đạt tỷ lệ từ 30% trở lên: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Đạt tỷ lệ từ 10% - dưới 30%: 0.25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Đạt tỷ lệ dưới 10%: 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7.2.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Cung cấp dịch vụ công trực tuyến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Cs w:val="28"/>
              </w:rPr>
            </w:pPr>
            <w:r w:rsidRPr="009770A7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7.2.1.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Tỷ lệ TTHC cung cấp trực tuyến mức độ 3 và 4 có phát sinh hồ sơ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50% số TTHC trở lên: 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2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7"/>
            </w:tblGrid>
            <w:tr w:rsidR="002F3AED" w:rsidRPr="009770A7" w:rsidTr="00E76412">
              <w:trPr>
                <w:trHeight w:val="630"/>
                <w:tblCellSpacing w:w="0" w:type="dxa"/>
              </w:trPr>
              <w:tc>
                <w:tcPr>
                  <w:tcW w:w="6287" w:type="dxa"/>
                  <w:shd w:val="clear" w:color="auto" w:fill="auto"/>
                  <w:hideMark/>
                </w:tcPr>
                <w:p w:rsidR="002F3AED" w:rsidRPr="009770A7" w:rsidRDefault="002F3AED" w:rsidP="009770A7">
                  <w:pPr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770A7">
                    <w:rPr>
                      <w:rFonts w:eastAsia="Times New Roman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vi-VN" w:eastAsia="vi-VN"/>
                    </w:rPr>
                    <w:drawing>
                      <wp:anchor distT="0" distB="0" distL="114300" distR="114300" simplePos="0" relativeHeight="251664896" behindDoc="0" locked="0" layoutInCell="1" allowOverlap="1" wp14:anchorId="66A186E7" wp14:editId="5DC138F0">
                        <wp:simplePos x="0" y="0"/>
                        <wp:positionH relativeFrom="column">
                          <wp:posOffset>402590</wp:posOffset>
                        </wp:positionH>
                        <wp:positionV relativeFrom="paragraph">
                          <wp:posOffset>158750</wp:posOffset>
                        </wp:positionV>
                        <wp:extent cx="2530475" cy="233680"/>
                        <wp:effectExtent l="19050" t="0" r="3175" b="0"/>
                        <wp:wrapNone/>
                        <wp:docPr id="4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047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770A7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Dưới 50% số TTHC thì điểm đánh giá được tính theo công thức:</w:t>
                  </w:r>
                </w:p>
              </w:tc>
            </w:tr>
          </w:tbl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7.2.2.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Tỷ lệ hồ sơ TTHC được giải quyết trực tuyến mức độ 3 và 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20% số hồ sơ TTHC trở lên: 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2"/>
            </w:tblGrid>
            <w:tr w:rsidR="002F3AED" w:rsidRPr="009770A7" w:rsidTr="00E76412">
              <w:trPr>
                <w:trHeight w:val="630"/>
                <w:tblCellSpacing w:w="0" w:type="dxa"/>
              </w:trPr>
              <w:tc>
                <w:tcPr>
                  <w:tcW w:w="6092" w:type="dxa"/>
                  <w:shd w:val="clear" w:color="auto" w:fill="auto"/>
                  <w:hideMark/>
                </w:tcPr>
                <w:p w:rsidR="002F3AED" w:rsidRPr="009770A7" w:rsidRDefault="002F3AED" w:rsidP="009770A7">
                  <w:pPr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770A7">
                    <w:rPr>
                      <w:rFonts w:eastAsia="Times New Roman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vi-VN" w:eastAsia="vi-VN"/>
                    </w:rPr>
                    <w:drawing>
                      <wp:anchor distT="0" distB="0" distL="114300" distR="114300" simplePos="0" relativeHeight="251670016" behindDoc="0" locked="0" layoutInCell="1" allowOverlap="1" wp14:anchorId="746CF832" wp14:editId="137A8B94">
                        <wp:simplePos x="0" y="0"/>
                        <wp:positionH relativeFrom="column">
                          <wp:posOffset>792480</wp:posOffset>
                        </wp:positionH>
                        <wp:positionV relativeFrom="paragraph">
                          <wp:posOffset>142240</wp:posOffset>
                        </wp:positionV>
                        <wp:extent cx="1179830" cy="201930"/>
                        <wp:effectExtent l="19050" t="0" r="1270" b="0"/>
                        <wp:wrapNone/>
                        <wp:docPr id="5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8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770A7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Dưới 20% số hồ sơ TTHC thì điểm đánh giá được tính theo công thức  </w:t>
                  </w:r>
                </w:p>
              </w:tc>
            </w:tr>
          </w:tbl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3AED" w:rsidRPr="009770A7" w:rsidTr="00211727">
        <w:trPr>
          <w:gridAfter w:val="1"/>
          <w:wAfter w:w="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ED" w:rsidRPr="009770A7" w:rsidRDefault="002F3AED" w:rsidP="00E7641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TỔNG ĐIỂM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ED" w:rsidRPr="009770A7" w:rsidRDefault="002F3AED" w:rsidP="009770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2"/>
              </w:rPr>
              <w:t>20.25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ED" w:rsidRPr="009770A7" w:rsidRDefault="002F3AED" w:rsidP="009770A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0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112F7" w:rsidRPr="009770A7" w:rsidRDefault="009112F7" w:rsidP="009770A7"/>
    <w:sectPr w:rsidR="009112F7" w:rsidRPr="009770A7" w:rsidSect="00211727">
      <w:headerReference w:type="default" r:id="rId11"/>
      <w:pgSz w:w="16840" w:h="11907" w:orient="landscape" w:code="9"/>
      <w:pgMar w:top="1134" w:right="1134" w:bottom="851" w:left="1134" w:header="720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35" w:rsidRDefault="000F3835" w:rsidP="00E76412">
      <w:r>
        <w:separator/>
      </w:r>
    </w:p>
  </w:endnote>
  <w:endnote w:type="continuationSeparator" w:id="0">
    <w:p w:rsidR="000F3835" w:rsidRDefault="000F3835" w:rsidP="00E7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35" w:rsidRDefault="000F3835" w:rsidP="00E76412">
      <w:r>
        <w:separator/>
      </w:r>
    </w:p>
  </w:footnote>
  <w:footnote w:type="continuationSeparator" w:id="0">
    <w:p w:rsidR="000F3835" w:rsidRDefault="000F3835" w:rsidP="00E7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47269"/>
      <w:docPartObj>
        <w:docPartGallery w:val="Page Numbers (Top of Page)"/>
        <w:docPartUnique/>
      </w:docPartObj>
    </w:sdtPr>
    <w:sdtEndPr/>
    <w:sdtContent>
      <w:p w:rsidR="00E76412" w:rsidRDefault="00DC59D8" w:rsidP="00E764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E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D4"/>
    <w:rsid w:val="0001272A"/>
    <w:rsid w:val="000F3835"/>
    <w:rsid w:val="00211727"/>
    <w:rsid w:val="002725D3"/>
    <w:rsid w:val="002865AF"/>
    <w:rsid w:val="002E6225"/>
    <w:rsid w:val="002F3AED"/>
    <w:rsid w:val="00342752"/>
    <w:rsid w:val="003840DA"/>
    <w:rsid w:val="00434ADA"/>
    <w:rsid w:val="00464194"/>
    <w:rsid w:val="00546895"/>
    <w:rsid w:val="005C06DA"/>
    <w:rsid w:val="005C4520"/>
    <w:rsid w:val="006956B9"/>
    <w:rsid w:val="006F4286"/>
    <w:rsid w:val="00780818"/>
    <w:rsid w:val="007D317B"/>
    <w:rsid w:val="008638C5"/>
    <w:rsid w:val="00881BD4"/>
    <w:rsid w:val="008841CA"/>
    <w:rsid w:val="008E395E"/>
    <w:rsid w:val="009112F7"/>
    <w:rsid w:val="009518D5"/>
    <w:rsid w:val="009770A7"/>
    <w:rsid w:val="009B534C"/>
    <w:rsid w:val="009C3E2A"/>
    <w:rsid w:val="00A81945"/>
    <w:rsid w:val="00AC5C67"/>
    <w:rsid w:val="00B14FA2"/>
    <w:rsid w:val="00C02E11"/>
    <w:rsid w:val="00C7302B"/>
    <w:rsid w:val="00CA6611"/>
    <w:rsid w:val="00D6541D"/>
    <w:rsid w:val="00DC59D8"/>
    <w:rsid w:val="00E76412"/>
    <w:rsid w:val="00E824A1"/>
    <w:rsid w:val="00E92AFA"/>
    <w:rsid w:val="00F17375"/>
    <w:rsid w:val="00F3437D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BD4"/>
    <w:rPr>
      <w:color w:val="800080"/>
      <w:u w:val="single"/>
    </w:rPr>
  </w:style>
  <w:style w:type="paragraph" w:customStyle="1" w:styleId="font5">
    <w:name w:val="font5"/>
    <w:basedOn w:val="Normal"/>
    <w:rsid w:val="00881BD4"/>
    <w:pPr>
      <w:spacing w:before="100" w:beforeAutospacing="1" w:after="100" w:afterAutospacing="1"/>
      <w:jc w:val="left"/>
    </w:pPr>
    <w:rPr>
      <w:rFonts w:eastAsia="Times New Roman" w:cs="Times New Roman"/>
      <w:i/>
      <w:iCs/>
      <w:color w:val="000000"/>
      <w:szCs w:val="28"/>
    </w:rPr>
  </w:style>
  <w:style w:type="paragraph" w:customStyle="1" w:styleId="font6">
    <w:name w:val="font6"/>
    <w:basedOn w:val="Normal"/>
    <w:rsid w:val="00881BD4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sz w:val="22"/>
    </w:rPr>
  </w:style>
  <w:style w:type="paragraph" w:customStyle="1" w:styleId="font7">
    <w:name w:val="font7"/>
    <w:basedOn w:val="Normal"/>
    <w:rsid w:val="00881BD4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sz w:val="14"/>
      <w:szCs w:val="14"/>
    </w:rPr>
  </w:style>
  <w:style w:type="paragraph" w:customStyle="1" w:styleId="xl65">
    <w:name w:val="xl65"/>
    <w:basedOn w:val="Normal"/>
    <w:rsid w:val="00881BD4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</w:rPr>
  </w:style>
  <w:style w:type="paragraph" w:customStyle="1" w:styleId="xl76">
    <w:name w:val="xl76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77">
    <w:name w:val="xl77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78">
    <w:name w:val="xl78"/>
    <w:basedOn w:val="Normal"/>
    <w:rsid w:val="00881BD4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881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881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</w:rPr>
  </w:style>
  <w:style w:type="paragraph" w:customStyle="1" w:styleId="xl81">
    <w:name w:val="xl81"/>
    <w:basedOn w:val="Normal"/>
    <w:rsid w:val="00881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84">
    <w:name w:val="xl84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87">
    <w:name w:val="xl87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8"/>
    </w:rPr>
  </w:style>
  <w:style w:type="paragraph" w:customStyle="1" w:styleId="xl88">
    <w:name w:val="xl88"/>
    <w:basedOn w:val="Normal"/>
    <w:rsid w:val="00881BD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881BD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91">
    <w:name w:val="xl91"/>
    <w:basedOn w:val="Normal"/>
    <w:rsid w:val="00881BD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92">
    <w:name w:val="xl92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3">
    <w:name w:val="xl93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</w:rPr>
  </w:style>
  <w:style w:type="paragraph" w:customStyle="1" w:styleId="xl94">
    <w:name w:val="xl94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font8">
    <w:name w:val="font8"/>
    <w:basedOn w:val="Normal"/>
    <w:rsid w:val="009770A7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sz w:val="22"/>
    </w:rPr>
  </w:style>
  <w:style w:type="paragraph" w:customStyle="1" w:styleId="font9">
    <w:name w:val="font9"/>
    <w:basedOn w:val="Normal"/>
    <w:rsid w:val="009770A7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sz w:val="14"/>
      <w:szCs w:val="14"/>
    </w:rPr>
  </w:style>
  <w:style w:type="paragraph" w:customStyle="1" w:styleId="xl95">
    <w:name w:val="xl95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i/>
      <w:iCs/>
      <w:sz w:val="24"/>
      <w:szCs w:val="24"/>
    </w:rPr>
  </w:style>
  <w:style w:type="paragraph" w:customStyle="1" w:styleId="xl99">
    <w:name w:val="xl99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8"/>
    </w:rPr>
  </w:style>
  <w:style w:type="paragraph" w:customStyle="1" w:styleId="xl102">
    <w:name w:val="xl102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 w:cs="Times New Roman"/>
      <w:i/>
      <w:iCs/>
      <w:sz w:val="24"/>
      <w:szCs w:val="24"/>
    </w:rPr>
  </w:style>
  <w:style w:type="paragraph" w:customStyle="1" w:styleId="xl103">
    <w:name w:val="xl103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</w:rPr>
  </w:style>
  <w:style w:type="paragraph" w:customStyle="1" w:styleId="xl106">
    <w:name w:val="xl106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Cs w:val="28"/>
    </w:rPr>
  </w:style>
  <w:style w:type="paragraph" w:customStyle="1" w:styleId="xl108">
    <w:name w:val="xl108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E76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12"/>
  </w:style>
  <w:style w:type="paragraph" w:styleId="Footer">
    <w:name w:val="footer"/>
    <w:basedOn w:val="Normal"/>
    <w:link w:val="FooterChar"/>
    <w:uiPriority w:val="99"/>
    <w:semiHidden/>
    <w:unhideWhenUsed/>
    <w:rsid w:val="00E76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BD4"/>
    <w:rPr>
      <w:color w:val="800080"/>
      <w:u w:val="single"/>
    </w:rPr>
  </w:style>
  <w:style w:type="paragraph" w:customStyle="1" w:styleId="font5">
    <w:name w:val="font5"/>
    <w:basedOn w:val="Normal"/>
    <w:rsid w:val="00881BD4"/>
    <w:pPr>
      <w:spacing w:before="100" w:beforeAutospacing="1" w:after="100" w:afterAutospacing="1"/>
      <w:jc w:val="left"/>
    </w:pPr>
    <w:rPr>
      <w:rFonts w:eastAsia="Times New Roman" w:cs="Times New Roman"/>
      <w:i/>
      <w:iCs/>
      <w:color w:val="000000"/>
      <w:szCs w:val="28"/>
    </w:rPr>
  </w:style>
  <w:style w:type="paragraph" w:customStyle="1" w:styleId="font6">
    <w:name w:val="font6"/>
    <w:basedOn w:val="Normal"/>
    <w:rsid w:val="00881BD4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sz w:val="22"/>
    </w:rPr>
  </w:style>
  <w:style w:type="paragraph" w:customStyle="1" w:styleId="font7">
    <w:name w:val="font7"/>
    <w:basedOn w:val="Normal"/>
    <w:rsid w:val="00881BD4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sz w:val="14"/>
      <w:szCs w:val="14"/>
    </w:rPr>
  </w:style>
  <w:style w:type="paragraph" w:customStyle="1" w:styleId="xl65">
    <w:name w:val="xl65"/>
    <w:basedOn w:val="Normal"/>
    <w:rsid w:val="00881BD4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</w:rPr>
  </w:style>
  <w:style w:type="paragraph" w:customStyle="1" w:styleId="xl76">
    <w:name w:val="xl76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77">
    <w:name w:val="xl77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78">
    <w:name w:val="xl78"/>
    <w:basedOn w:val="Normal"/>
    <w:rsid w:val="00881BD4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881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881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</w:rPr>
  </w:style>
  <w:style w:type="paragraph" w:customStyle="1" w:styleId="xl81">
    <w:name w:val="xl81"/>
    <w:basedOn w:val="Normal"/>
    <w:rsid w:val="00881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84">
    <w:name w:val="xl84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87">
    <w:name w:val="xl87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8"/>
    </w:rPr>
  </w:style>
  <w:style w:type="paragraph" w:customStyle="1" w:styleId="xl88">
    <w:name w:val="xl88"/>
    <w:basedOn w:val="Normal"/>
    <w:rsid w:val="00881BD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881BD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91">
    <w:name w:val="xl91"/>
    <w:basedOn w:val="Normal"/>
    <w:rsid w:val="00881BD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92">
    <w:name w:val="xl92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3">
    <w:name w:val="xl93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</w:rPr>
  </w:style>
  <w:style w:type="paragraph" w:customStyle="1" w:styleId="xl94">
    <w:name w:val="xl94"/>
    <w:basedOn w:val="Normal"/>
    <w:rsid w:val="0088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font8">
    <w:name w:val="font8"/>
    <w:basedOn w:val="Normal"/>
    <w:rsid w:val="009770A7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sz w:val="22"/>
    </w:rPr>
  </w:style>
  <w:style w:type="paragraph" w:customStyle="1" w:styleId="font9">
    <w:name w:val="font9"/>
    <w:basedOn w:val="Normal"/>
    <w:rsid w:val="009770A7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sz w:val="14"/>
      <w:szCs w:val="14"/>
    </w:rPr>
  </w:style>
  <w:style w:type="paragraph" w:customStyle="1" w:styleId="xl95">
    <w:name w:val="xl95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i/>
      <w:iCs/>
      <w:sz w:val="24"/>
      <w:szCs w:val="24"/>
    </w:rPr>
  </w:style>
  <w:style w:type="paragraph" w:customStyle="1" w:styleId="xl99">
    <w:name w:val="xl99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8"/>
    </w:rPr>
  </w:style>
  <w:style w:type="paragraph" w:customStyle="1" w:styleId="xl102">
    <w:name w:val="xl102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 w:cs="Times New Roman"/>
      <w:i/>
      <w:iCs/>
      <w:sz w:val="24"/>
      <w:szCs w:val="24"/>
    </w:rPr>
  </w:style>
  <w:style w:type="paragraph" w:customStyle="1" w:styleId="xl103">
    <w:name w:val="xl103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</w:rPr>
  </w:style>
  <w:style w:type="paragraph" w:customStyle="1" w:styleId="xl106">
    <w:name w:val="xl106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Cs w:val="28"/>
    </w:rPr>
  </w:style>
  <w:style w:type="paragraph" w:customStyle="1" w:styleId="xl108">
    <w:name w:val="xl108"/>
    <w:basedOn w:val="Normal"/>
    <w:rsid w:val="0097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E76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12"/>
  </w:style>
  <w:style w:type="paragraph" w:styleId="Footer">
    <w:name w:val="footer"/>
    <w:basedOn w:val="Normal"/>
    <w:link w:val="FooterChar"/>
    <w:uiPriority w:val="99"/>
    <w:semiHidden/>
    <w:unhideWhenUsed/>
    <w:rsid w:val="00E76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D391547-2C6E-4962-A273-B7AB1FFB82FE}"/>
</file>

<file path=customXml/itemProps2.xml><?xml version="1.0" encoding="utf-8"?>
<ds:datastoreItem xmlns:ds="http://schemas.openxmlformats.org/officeDocument/2006/customXml" ds:itemID="{BD200475-E096-4914-8CFD-95127EEC99DE}"/>
</file>

<file path=customXml/itemProps3.xml><?xml version="1.0" encoding="utf-8"?>
<ds:datastoreItem xmlns:ds="http://schemas.openxmlformats.org/officeDocument/2006/customXml" ds:itemID="{AAEFF051-08B1-4D83-A95E-466DF8E6A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2022-01-05T08:36:00Z</dcterms:created>
  <dcterms:modified xsi:type="dcterms:W3CDTF">2022-01-06T04:50:00Z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